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1382">
        <w:rPr>
          <w:rFonts w:ascii="Times New Roman" w:hAnsi="Times New Roman" w:cs="Times New Roman"/>
          <w:b/>
          <w:sz w:val="28"/>
          <w:szCs w:val="24"/>
        </w:rPr>
        <w:t>25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E2335" w:rsidRPr="005E2335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.2017 по </w:t>
      </w:r>
      <w:r w:rsidR="00931382">
        <w:rPr>
          <w:rFonts w:ascii="Times New Roman" w:hAnsi="Times New Roman" w:cs="Times New Roman"/>
          <w:b/>
          <w:sz w:val="28"/>
          <w:szCs w:val="24"/>
        </w:rPr>
        <w:t>25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31382">
        <w:rPr>
          <w:rFonts w:ascii="Times New Roman" w:hAnsi="Times New Roman" w:cs="Times New Roman"/>
          <w:b/>
          <w:sz w:val="28"/>
          <w:szCs w:val="24"/>
        </w:rPr>
        <w:t>02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31382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763B4">
        <w:rPr>
          <w:rFonts w:ascii="Times New Roman" w:hAnsi="Times New Roman" w:cs="Times New Roman"/>
          <w:sz w:val="28"/>
          <w:szCs w:val="24"/>
        </w:rPr>
        <w:t>25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28602D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8544C" w:rsidRPr="00145BDD">
        <w:rPr>
          <w:rFonts w:ascii="Times New Roman" w:hAnsi="Times New Roman" w:cs="Times New Roman"/>
          <w:sz w:val="28"/>
          <w:szCs w:val="24"/>
        </w:rPr>
        <w:t>7 года по «</w:t>
      </w:r>
      <w:r w:rsidR="002763B4">
        <w:rPr>
          <w:rFonts w:ascii="Times New Roman" w:hAnsi="Times New Roman" w:cs="Times New Roman"/>
          <w:sz w:val="28"/>
          <w:szCs w:val="24"/>
        </w:rPr>
        <w:t>25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2763B4">
        <w:rPr>
          <w:rFonts w:ascii="Times New Roman" w:hAnsi="Times New Roman" w:cs="Times New Roman"/>
          <w:sz w:val="28"/>
          <w:szCs w:val="24"/>
        </w:rPr>
        <w:t>февраля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763B4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82A7F">
        <w:rPr>
          <w:rFonts w:ascii="Times New Roman" w:hAnsi="Times New Roman" w:cs="Times New Roman"/>
          <w:sz w:val="28"/>
          <w:szCs w:val="24"/>
        </w:rPr>
        <w:t>Ультразвуковой</w:t>
      </w:r>
      <w:proofErr w:type="gramEnd"/>
      <w:r w:rsidRPr="00582A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400руб.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28602D" w:rsidRPr="002763B4" w:rsidRDefault="0028602D" w:rsidP="002763B4">
      <w:pPr>
        <w:rPr>
          <w:rFonts w:ascii="Times New Roman" w:hAnsi="Times New Roman" w:cs="Times New Roman"/>
          <w:b/>
          <w:sz w:val="28"/>
          <w:szCs w:val="24"/>
        </w:rPr>
      </w:pP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2763B4">
        <w:rPr>
          <w:rFonts w:ascii="Times New Roman" w:hAnsi="Times New Roman" w:cs="Times New Roman"/>
          <w:sz w:val="28"/>
          <w:szCs w:val="24"/>
        </w:rPr>
        <w:t xml:space="preserve">учение консультации специалиста и кандидаты медицинских наук. 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9BDCDE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25494"/>
    <w:rsid w:val="00145BDD"/>
    <w:rsid w:val="0017646E"/>
    <w:rsid w:val="001C2305"/>
    <w:rsid w:val="001C7A14"/>
    <w:rsid w:val="001F2682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A3573"/>
    <w:rsid w:val="005E2335"/>
    <w:rsid w:val="005E2BB1"/>
    <w:rsid w:val="0060063F"/>
    <w:rsid w:val="00640A0F"/>
    <w:rsid w:val="0065362D"/>
    <w:rsid w:val="00655367"/>
    <w:rsid w:val="006639A1"/>
    <w:rsid w:val="00667D77"/>
    <w:rsid w:val="00676CA1"/>
    <w:rsid w:val="00687FC0"/>
    <w:rsid w:val="006D473E"/>
    <w:rsid w:val="006F2A7E"/>
    <w:rsid w:val="006F2FD4"/>
    <w:rsid w:val="006F5C54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674DA"/>
    <w:rsid w:val="008B7910"/>
    <w:rsid w:val="008C2CFE"/>
    <w:rsid w:val="0091243A"/>
    <w:rsid w:val="00931382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11E2A"/>
    <w:rsid w:val="00E432FC"/>
    <w:rsid w:val="00E5526E"/>
    <w:rsid w:val="00EC4A12"/>
    <w:rsid w:val="00EE1194"/>
    <w:rsid w:val="00EE78E8"/>
    <w:rsid w:val="00F00E18"/>
    <w:rsid w:val="00F3664F"/>
    <w:rsid w:val="00F6031F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C37A-2151-4049-94F1-8C9D683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25</cp:revision>
  <cp:lastPrinted>2017-09-11T05:53:00Z</cp:lastPrinted>
  <dcterms:created xsi:type="dcterms:W3CDTF">2017-08-29T11:41:00Z</dcterms:created>
  <dcterms:modified xsi:type="dcterms:W3CDTF">2017-12-29T05:23:00Z</dcterms:modified>
</cp:coreProperties>
</file>